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1946"/>
        <w:tblOverlap w:val="never"/>
        <w:tblW w:w="4889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61"/>
      </w:tblGrid>
      <w:tr w:rsidR="00374AB7" w:rsidRPr="001C3FDE" w14:paraId="085BA5C3" w14:textId="77777777" w:rsidTr="00E40852">
        <w:trPr>
          <w:cantSplit/>
          <w:trHeight w:val="397"/>
        </w:trPr>
        <w:tc>
          <w:tcPr>
            <w:tcW w:w="5000" w:type="pct"/>
            <w:shd w:val="clear" w:color="auto" w:fill="C8F3AB"/>
            <w:vAlign w:val="center"/>
          </w:tcPr>
          <w:p w14:paraId="23CBE994" w14:textId="77777777" w:rsidR="00374AB7" w:rsidRPr="001C3FDE" w:rsidRDefault="00374AB7" w:rsidP="00E40852">
            <w:pPr>
              <w:spacing w:line="240" w:lineRule="auto"/>
              <w:contextualSpacing/>
              <w:jc w:val="center"/>
              <w:rPr>
                <w:b/>
                <w:bCs/>
                <w:sz w:val="16"/>
                <w:szCs w:val="18"/>
              </w:rPr>
            </w:pPr>
          </w:p>
          <w:p w14:paraId="60CC8A36" w14:textId="77777777" w:rsidR="00374AB7" w:rsidRDefault="00374AB7" w:rsidP="00E40852">
            <w:pPr>
              <w:spacing w:line="240" w:lineRule="auto"/>
              <w:contextualSpacing/>
              <w:jc w:val="center"/>
              <w:rPr>
                <w:b/>
                <w:bCs/>
                <w:sz w:val="20"/>
                <w:szCs w:val="18"/>
              </w:rPr>
            </w:pPr>
            <w:r w:rsidRPr="008D0F48">
              <w:rPr>
                <w:b/>
                <w:bCs/>
                <w:sz w:val="20"/>
                <w:szCs w:val="18"/>
              </w:rPr>
              <w:t xml:space="preserve">Program szkolenia </w:t>
            </w:r>
            <w:r>
              <w:rPr>
                <w:b/>
                <w:bCs/>
                <w:sz w:val="20"/>
                <w:szCs w:val="18"/>
              </w:rPr>
              <w:t>– Blok I</w:t>
            </w:r>
          </w:p>
          <w:p w14:paraId="21DF2358" w14:textId="77777777" w:rsidR="00374AB7" w:rsidRPr="001C3FDE" w:rsidRDefault="00374AB7" w:rsidP="00E40852">
            <w:pPr>
              <w:spacing w:line="240" w:lineRule="auto"/>
              <w:contextualSpacing/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374AB7" w:rsidRPr="00376899" w14:paraId="3CADDDC0" w14:textId="77777777" w:rsidTr="00E40852">
        <w:trPr>
          <w:cantSplit/>
          <w:trHeight w:val="659"/>
        </w:trPr>
        <w:tc>
          <w:tcPr>
            <w:tcW w:w="5000" w:type="pct"/>
            <w:shd w:val="clear" w:color="auto" w:fill="auto"/>
            <w:vAlign w:val="center"/>
          </w:tcPr>
          <w:p w14:paraId="3EF2E58F" w14:textId="77777777" w:rsidR="00374AB7" w:rsidRPr="000B29C6" w:rsidRDefault="00374AB7" w:rsidP="00E40852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18"/>
              </w:rPr>
            </w:pPr>
            <w:r w:rsidRPr="000B29C6">
              <w:rPr>
                <w:sz w:val="20"/>
                <w:szCs w:val="18"/>
              </w:rPr>
              <w:t>Umiejętności, rola  i obszary aktywności  komunikacyjnego partnera.</w:t>
            </w:r>
          </w:p>
          <w:p w14:paraId="075D6FE0" w14:textId="77777777" w:rsidR="00374AB7" w:rsidRPr="000B29C6" w:rsidRDefault="00374AB7" w:rsidP="00E40852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18"/>
              </w:rPr>
            </w:pPr>
            <w:r w:rsidRPr="000B29C6">
              <w:rPr>
                <w:sz w:val="20"/>
                <w:szCs w:val="18"/>
              </w:rPr>
              <w:t xml:space="preserve">Warsztat  - Od czego zacząć?  Zachowania komunikacyjne  i ich funkcja. </w:t>
            </w:r>
          </w:p>
          <w:p w14:paraId="26999E72" w14:textId="77777777" w:rsidR="00374AB7" w:rsidRPr="000B29C6" w:rsidRDefault="00374AB7" w:rsidP="00E40852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18"/>
              </w:rPr>
            </w:pPr>
            <w:r w:rsidRPr="000B29C6">
              <w:rPr>
                <w:sz w:val="20"/>
                <w:szCs w:val="18"/>
              </w:rPr>
              <w:t>Kod komunikacyjny. Wyłanianie dominującego sp</w:t>
            </w:r>
            <w:r>
              <w:rPr>
                <w:sz w:val="20"/>
                <w:szCs w:val="18"/>
              </w:rPr>
              <w:t>osobu przekazywania informacji użytkownika AAC.</w:t>
            </w:r>
          </w:p>
          <w:p w14:paraId="6E604C7C" w14:textId="77777777" w:rsidR="00374AB7" w:rsidRPr="000B29C6" w:rsidRDefault="00374AB7" w:rsidP="00E40852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18"/>
              </w:rPr>
            </w:pPr>
            <w:r w:rsidRPr="000B29C6">
              <w:rPr>
                <w:sz w:val="20"/>
                <w:szCs w:val="18"/>
              </w:rPr>
              <w:t>Organizacja przestrzeni i pozycja podczas sytuacji komunikacyjnej.</w:t>
            </w:r>
          </w:p>
          <w:p w14:paraId="7F631F6A" w14:textId="77777777" w:rsidR="00374AB7" w:rsidRPr="000B29C6" w:rsidRDefault="00374AB7" w:rsidP="00E40852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18"/>
              </w:rPr>
            </w:pPr>
            <w:r w:rsidRPr="000B29C6">
              <w:rPr>
                <w:sz w:val="20"/>
                <w:szCs w:val="18"/>
              </w:rPr>
              <w:t>Użytkownicy zależni od wspomagających działań partnera.</w:t>
            </w:r>
          </w:p>
          <w:p w14:paraId="18B914C7" w14:textId="77777777" w:rsidR="00374AB7" w:rsidRPr="000B29C6" w:rsidRDefault="00374AB7" w:rsidP="00E40852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18"/>
              </w:rPr>
            </w:pPr>
            <w:r w:rsidRPr="000B29C6">
              <w:rPr>
                <w:sz w:val="20"/>
                <w:szCs w:val="18"/>
              </w:rPr>
              <w:t>Pojęcie strate</w:t>
            </w:r>
            <w:r>
              <w:rPr>
                <w:sz w:val="20"/>
                <w:szCs w:val="18"/>
              </w:rPr>
              <w:t>gii AAC:</w:t>
            </w:r>
            <w:r w:rsidRPr="000B29C6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c</w:t>
            </w:r>
            <w:r w:rsidRPr="000B29C6">
              <w:rPr>
                <w:sz w:val="20"/>
                <w:szCs w:val="18"/>
              </w:rPr>
              <w:t>ele</w:t>
            </w:r>
            <w:r>
              <w:rPr>
                <w:sz w:val="20"/>
                <w:szCs w:val="18"/>
              </w:rPr>
              <w:t xml:space="preserve">, przebieg  </w:t>
            </w:r>
            <w:r w:rsidRPr="000B29C6">
              <w:rPr>
                <w:sz w:val="20"/>
                <w:szCs w:val="18"/>
              </w:rPr>
              <w:t xml:space="preserve">i zachowania  docelowe. </w:t>
            </w:r>
          </w:p>
          <w:p w14:paraId="0F5EE618" w14:textId="77777777" w:rsidR="00374AB7" w:rsidRPr="000B29C6" w:rsidRDefault="00374AB7" w:rsidP="00E40852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Schemat postępowania partnera.</w:t>
            </w:r>
            <w:r w:rsidRPr="000B29C6">
              <w:rPr>
                <w:sz w:val="20"/>
                <w:szCs w:val="18"/>
              </w:rPr>
              <w:t xml:space="preserve"> Sposoby rozwijania, podtrzymywania i ulepszania komunikacyjnych więzi.</w:t>
            </w:r>
          </w:p>
          <w:p w14:paraId="46ADEB5A" w14:textId="77777777" w:rsidR="00374AB7" w:rsidRPr="00FE0D46" w:rsidRDefault="00374AB7" w:rsidP="00E4085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18"/>
              </w:rPr>
            </w:pPr>
            <w:r w:rsidRPr="00FE0D46">
              <w:rPr>
                <w:sz w:val="20"/>
                <w:szCs w:val="18"/>
              </w:rPr>
              <w:t>Tworzenie, opisywani</w:t>
            </w:r>
            <w:r>
              <w:rPr>
                <w:sz w:val="20"/>
                <w:szCs w:val="18"/>
              </w:rPr>
              <w:t>e i modyfikowanie strategii AAC.</w:t>
            </w:r>
          </w:p>
          <w:p w14:paraId="192AC439" w14:textId="77777777" w:rsidR="00374AB7" w:rsidRPr="00533105" w:rsidRDefault="00374AB7" w:rsidP="00E40852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18"/>
              </w:rPr>
            </w:pPr>
            <w:r w:rsidRPr="000B29C6">
              <w:rPr>
                <w:sz w:val="20"/>
                <w:szCs w:val="18"/>
              </w:rPr>
              <w:t>Planowanie strategii AAC opartych</w:t>
            </w:r>
            <w:r>
              <w:rPr>
                <w:sz w:val="20"/>
                <w:szCs w:val="18"/>
              </w:rPr>
              <w:t xml:space="preserve"> na </w:t>
            </w:r>
            <w:r w:rsidRPr="000B29C6">
              <w:rPr>
                <w:sz w:val="20"/>
                <w:szCs w:val="18"/>
              </w:rPr>
              <w:t xml:space="preserve">  model</w:t>
            </w:r>
            <w:r>
              <w:rPr>
                <w:sz w:val="20"/>
                <w:szCs w:val="18"/>
              </w:rPr>
              <w:t xml:space="preserve">u </w:t>
            </w:r>
            <w:r w:rsidRPr="00533105">
              <w:rPr>
                <w:sz w:val="20"/>
                <w:szCs w:val="18"/>
              </w:rPr>
              <w:t>aktywnym.</w:t>
            </w:r>
          </w:p>
          <w:p w14:paraId="18B68119" w14:textId="77777777" w:rsidR="00374AB7" w:rsidRPr="000B29C6" w:rsidRDefault="00374AB7" w:rsidP="00E40852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Warsztat - </w:t>
            </w:r>
            <w:r w:rsidRPr="000B29C6">
              <w:rPr>
                <w:sz w:val="20"/>
                <w:szCs w:val="18"/>
              </w:rPr>
              <w:t xml:space="preserve">Określanie  celów  oraz elementów modelu aktywnego użytkownika. </w:t>
            </w:r>
          </w:p>
          <w:p w14:paraId="2C834D03" w14:textId="77777777" w:rsidR="00374AB7" w:rsidRPr="000B29C6" w:rsidRDefault="00374AB7" w:rsidP="00E40852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18"/>
              </w:rPr>
            </w:pPr>
            <w:r w:rsidRPr="000B29C6">
              <w:rPr>
                <w:sz w:val="20"/>
                <w:szCs w:val="18"/>
              </w:rPr>
              <w:t>Warsztat</w:t>
            </w:r>
            <w:r>
              <w:rPr>
                <w:sz w:val="20"/>
                <w:szCs w:val="18"/>
              </w:rPr>
              <w:t xml:space="preserve"> </w:t>
            </w:r>
            <w:r w:rsidRPr="000B29C6">
              <w:rPr>
                <w:sz w:val="20"/>
                <w:szCs w:val="18"/>
              </w:rPr>
              <w:t xml:space="preserve"> –</w:t>
            </w:r>
            <w:r>
              <w:rPr>
                <w:sz w:val="20"/>
                <w:szCs w:val="18"/>
              </w:rPr>
              <w:t xml:space="preserve"> O</w:t>
            </w:r>
            <w:r w:rsidRPr="000B29C6">
              <w:rPr>
                <w:sz w:val="20"/>
                <w:szCs w:val="18"/>
              </w:rPr>
              <w:t>bszary aktywności partnera i działania partnera.</w:t>
            </w:r>
          </w:p>
          <w:p w14:paraId="442E3705" w14:textId="77777777" w:rsidR="00374AB7" w:rsidRPr="00FE0D46" w:rsidRDefault="00374AB7" w:rsidP="00E4085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Warsztat  - </w:t>
            </w:r>
            <w:r w:rsidRPr="00FE0D46">
              <w:rPr>
                <w:sz w:val="20"/>
                <w:szCs w:val="18"/>
              </w:rPr>
              <w:t>Konstruowanie pierwszych strategii i ich modyfikacja.</w:t>
            </w:r>
          </w:p>
          <w:p w14:paraId="3C0186DF" w14:textId="77777777" w:rsidR="00374AB7" w:rsidRPr="000B29C6" w:rsidRDefault="00374AB7" w:rsidP="00E40852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18"/>
              </w:rPr>
            </w:pPr>
            <w:r w:rsidRPr="000B29C6">
              <w:rPr>
                <w:sz w:val="20"/>
                <w:szCs w:val="18"/>
              </w:rPr>
              <w:t>Ocena efektywności porozumiewania się – skala umiejętności komunikacyjnych z zakresu komunikacji wspomagającej i alternatywnej AAC</w:t>
            </w:r>
            <w:r>
              <w:rPr>
                <w:sz w:val="20"/>
                <w:szCs w:val="18"/>
              </w:rPr>
              <w:t>.</w:t>
            </w:r>
          </w:p>
          <w:p w14:paraId="219FDA80" w14:textId="77777777" w:rsidR="00374AB7" w:rsidRPr="000B29C6" w:rsidRDefault="00374AB7" w:rsidP="00E40852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18"/>
              </w:rPr>
            </w:pPr>
            <w:r w:rsidRPr="000B29C6">
              <w:rPr>
                <w:sz w:val="20"/>
                <w:szCs w:val="18"/>
              </w:rPr>
              <w:t xml:space="preserve">Jak korzystać z Protokołu do Karty Oceny? Zastosowanie klucza od karty oceny w zakresie: przekazu informacji, budowania wypowiedzi, funkcjonalnego współgrania z rozmówcą, ogólnego nastawienia i motywacji do komunikacji. </w:t>
            </w:r>
          </w:p>
          <w:p w14:paraId="0C8E30E7" w14:textId="77777777" w:rsidR="00374AB7" w:rsidRPr="00FE0D46" w:rsidRDefault="00374AB7" w:rsidP="00E40852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18"/>
              </w:rPr>
            </w:pPr>
            <w:r w:rsidRPr="000B29C6">
              <w:rPr>
                <w:sz w:val="20"/>
                <w:szCs w:val="18"/>
              </w:rPr>
              <w:t xml:space="preserve">Praktyka stosowania AAC – doświadczenia szkół i placówek terapeutycznych. </w:t>
            </w:r>
          </w:p>
          <w:p w14:paraId="45F6BD93" w14:textId="77777777" w:rsidR="00374AB7" w:rsidRDefault="00374AB7" w:rsidP="00E40852">
            <w:pPr>
              <w:spacing w:line="240" w:lineRule="auto"/>
              <w:ind w:left="117"/>
              <w:jc w:val="both"/>
              <w:rPr>
                <w:sz w:val="20"/>
                <w:szCs w:val="18"/>
              </w:rPr>
            </w:pPr>
          </w:p>
          <w:p w14:paraId="25D377F6" w14:textId="77777777" w:rsidR="00374AB7" w:rsidRPr="00376899" w:rsidRDefault="00374AB7" w:rsidP="00E40852">
            <w:pPr>
              <w:spacing w:line="240" w:lineRule="auto"/>
              <w:ind w:left="117"/>
              <w:jc w:val="both"/>
              <w:rPr>
                <w:sz w:val="20"/>
                <w:szCs w:val="18"/>
              </w:rPr>
            </w:pPr>
          </w:p>
        </w:tc>
      </w:tr>
    </w:tbl>
    <w:p w14:paraId="3636B02D" w14:textId="6B118C88" w:rsidR="00E40852" w:rsidRDefault="005A1995">
      <w:r>
        <w:t>SZCZEGÓŁOWY PROGRAM SZKOLENIA PT.</w:t>
      </w:r>
      <w:r w:rsidR="00E40852">
        <w:t xml:space="preserve"> </w:t>
      </w:r>
      <w:r>
        <w:t>”</w:t>
      </w:r>
      <w:r w:rsidR="00E40852">
        <w:t>ALTERNATYWNE I WSPOMAGAJĄCE SPOSOBY POROZUMIEWANIA SIĘ”</w:t>
      </w:r>
    </w:p>
    <w:p w14:paraId="5CDF3A58" w14:textId="5EC4904C" w:rsidR="005A1995" w:rsidRDefault="005A1995">
      <w:r>
        <w:t xml:space="preserve">Prowadzący: </w:t>
      </w:r>
      <w:r w:rsidR="00E40852">
        <w:t xml:space="preserve">dr </w:t>
      </w:r>
      <w:r>
        <w:t>Magdalena Grycman</w:t>
      </w:r>
    </w:p>
    <w:tbl>
      <w:tblPr>
        <w:tblpPr w:leftFromText="141" w:rightFromText="141" w:vertAnchor="text" w:horzAnchor="margin" w:tblpY="-110"/>
        <w:tblOverlap w:val="never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062"/>
      </w:tblGrid>
      <w:tr w:rsidR="00374AB7" w:rsidRPr="00374AB7" w14:paraId="283CC29D" w14:textId="77777777" w:rsidTr="00374AB7">
        <w:trPr>
          <w:cantSplit/>
          <w:trHeight w:val="279"/>
        </w:trPr>
        <w:tc>
          <w:tcPr>
            <w:tcW w:w="5000" w:type="pct"/>
            <w:shd w:val="clear" w:color="auto" w:fill="C8F3AB"/>
            <w:vAlign w:val="center"/>
          </w:tcPr>
          <w:p w14:paraId="0BACED57" w14:textId="77777777" w:rsidR="00374AB7" w:rsidRDefault="00374AB7" w:rsidP="00374AB7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11"/>
              </w:rPr>
            </w:pPr>
          </w:p>
          <w:p w14:paraId="0419D749" w14:textId="77777777" w:rsidR="00374AB7" w:rsidRDefault="00374AB7" w:rsidP="00374AB7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11"/>
              </w:rPr>
            </w:pPr>
            <w:r w:rsidRPr="00374AB7">
              <w:rPr>
                <w:rFonts w:ascii="Calibri" w:eastAsia="Times New Roman" w:hAnsi="Calibri" w:cs="Times New Roman"/>
                <w:b/>
                <w:bCs/>
                <w:sz w:val="20"/>
                <w:szCs w:val="11"/>
              </w:rPr>
              <w:t>Program szkolenia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11"/>
              </w:rPr>
              <w:t xml:space="preserve"> - B</w:t>
            </w:r>
            <w:r w:rsidRPr="00374AB7">
              <w:rPr>
                <w:rFonts w:ascii="Calibri" w:eastAsia="Times New Roman" w:hAnsi="Calibri" w:cs="Times New Roman"/>
                <w:b/>
                <w:bCs/>
                <w:sz w:val="20"/>
                <w:szCs w:val="11"/>
              </w:rPr>
              <w:t>lok II i III</w:t>
            </w:r>
          </w:p>
          <w:p w14:paraId="6E64B33B" w14:textId="77777777" w:rsidR="00374AB7" w:rsidRPr="00374AB7" w:rsidRDefault="00374AB7" w:rsidP="00374AB7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11"/>
                <w:szCs w:val="11"/>
              </w:rPr>
            </w:pPr>
          </w:p>
        </w:tc>
      </w:tr>
      <w:tr w:rsidR="00374AB7" w:rsidRPr="00374AB7" w14:paraId="38245A56" w14:textId="77777777" w:rsidTr="00A570DA">
        <w:trPr>
          <w:cantSplit/>
          <w:trHeight w:val="109"/>
        </w:trPr>
        <w:tc>
          <w:tcPr>
            <w:tcW w:w="5000" w:type="pct"/>
            <w:shd w:val="clear" w:color="auto" w:fill="auto"/>
            <w:vAlign w:val="center"/>
          </w:tcPr>
          <w:p w14:paraId="3E02D554" w14:textId="77777777" w:rsidR="00374AB7" w:rsidRPr="00374AB7" w:rsidRDefault="00374AB7" w:rsidP="00374A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libri" w:hAnsi="Calibri" w:cs="MinionPro-Regular"/>
                <w:lang w:eastAsia="en-US"/>
              </w:rPr>
            </w:pPr>
            <w:r w:rsidRPr="00374AB7">
              <w:rPr>
                <w:rFonts w:ascii="Calibri" w:eastAsia="Calibri" w:hAnsi="Calibri" w:cs="MinionPro-Regular"/>
                <w:lang w:eastAsia="en-US"/>
              </w:rPr>
              <w:t>Indywidualne systemy komunikacyjne tworzone w warunkach szkolnych – perspektywa rozwojowa.</w:t>
            </w:r>
          </w:p>
          <w:p w14:paraId="0DBEDE9F" w14:textId="77777777" w:rsidR="00374AB7" w:rsidRPr="00374AB7" w:rsidRDefault="00374AB7" w:rsidP="00374A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libri" w:hAnsi="Calibri" w:cs="MinionPro-Regular"/>
                <w:lang w:eastAsia="en-US"/>
              </w:rPr>
            </w:pPr>
            <w:r w:rsidRPr="00374AB7">
              <w:rPr>
                <w:rFonts w:ascii="Calibri" w:eastAsia="Calibri" w:hAnsi="Calibri" w:cs="MinionPro-Regular"/>
                <w:lang w:eastAsia="en-US"/>
              </w:rPr>
              <w:t xml:space="preserve">Budowanie systemu językowego poprzez tworzenie unikalnych kodów komunikacyjnych z użytkownikiem AAC. </w:t>
            </w:r>
          </w:p>
          <w:p w14:paraId="6E6F2AD6" w14:textId="77777777" w:rsidR="00374AB7" w:rsidRPr="00374AB7" w:rsidRDefault="00374AB7" w:rsidP="00374A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libri" w:hAnsi="Calibri" w:cs="MinionPro-Regular"/>
                <w:lang w:eastAsia="en-US"/>
              </w:rPr>
            </w:pPr>
            <w:r w:rsidRPr="00374AB7">
              <w:rPr>
                <w:rFonts w:ascii="Calibri" w:eastAsia="Calibri" w:hAnsi="Calibri" w:cs="MinionPro-Regular"/>
                <w:lang w:eastAsia="en-US"/>
              </w:rPr>
              <w:t xml:space="preserve">Warsztat   –  Czytanie uczestniczące. </w:t>
            </w:r>
          </w:p>
          <w:p w14:paraId="39CB52F9" w14:textId="77777777" w:rsidR="00374AB7" w:rsidRPr="00374AB7" w:rsidRDefault="00374AB7" w:rsidP="00374A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libri" w:hAnsi="Calibri" w:cs="MinionPro-Regular"/>
                <w:lang w:eastAsia="en-US"/>
              </w:rPr>
            </w:pPr>
            <w:r w:rsidRPr="00374AB7">
              <w:rPr>
                <w:rFonts w:ascii="Calibri" w:eastAsia="Calibri" w:hAnsi="Calibri" w:cs="MinionPro-Regular"/>
                <w:lang w:eastAsia="en-US"/>
              </w:rPr>
              <w:t>Wykorzystanie tablic połączonych. Poszerzanie obszarów uczestnictwa użytkownika AAC.</w:t>
            </w:r>
          </w:p>
          <w:p w14:paraId="483ADE6B" w14:textId="77777777" w:rsidR="00374AB7" w:rsidRPr="00374AB7" w:rsidRDefault="00374AB7" w:rsidP="00374A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libri" w:hAnsi="Calibri" w:cs="MinionPro-Regular"/>
                <w:lang w:eastAsia="en-US"/>
              </w:rPr>
            </w:pPr>
            <w:r w:rsidRPr="00374AB7">
              <w:rPr>
                <w:rFonts w:ascii="Calibri" w:eastAsia="Calibri" w:hAnsi="Calibri" w:cs="MinionPro-Regular"/>
                <w:lang w:eastAsia="en-US"/>
              </w:rPr>
              <w:t>Warsztat - Organizacja przestrzeni i pozycja podczas sytuacji komunikacyjnej. Cele oddziaływania i elementy modelu aktywnego.</w:t>
            </w:r>
          </w:p>
          <w:p w14:paraId="15737F0C" w14:textId="77777777" w:rsidR="00374AB7" w:rsidRPr="00374AB7" w:rsidRDefault="00374AB7" w:rsidP="00374A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libri" w:hAnsi="Calibri" w:cs="MinionPro-Regular"/>
                <w:lang w:eastAsia="en-US"/>
              </w:rPr>
            </w:pPr>
            <w:r w:rsidRPr="00374AB7">
              <w:rPr>
                <w:rFonts w:ascii="Calibri" w:eastAsia="Calibri" w:hAnsi="Calibri" w:cs="MinionPro-Regular"/>
                <w:lang w:eastAsia="en-US"/>
              </w:rPr>
              <w:t>Osadzenie oddziaływań wspomagających w strategiach dotyczących planowania .</w:t>
            </w:r>
          </w:p>
          <w:p w14:paraId="0ADDB07A" w14:textId="77777777" w:rsidR="00374AB7" w:rsidRPr="00374AB7" w:rsidRDefault="00374AB7" w:rsidP="00374A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libri" w:hAnsi="Calibri" w:cs="MinionPro-Regular"/>
                <w:lang w:eastAsia="en-US"/>
              </w:rPr>
            </w:pPr>
            <w:bookmarkStart w:id="0" w:name="_Hlk44924258"/>
            <w:r w:rsidRPr="00374AB7">
              <w:rPr>
                <w:rFonts w:ascii="Calibri" w:eastAsia="Calibri" w:hAnsi="Calibri" w:cs="MinionPro-Regular"/>
                <w:bCs/>
                <w:lang w:eastAsia="en-US"/>
              </w:rPr>
              <w:t>Zajęcia grupowe – Wdrażanie działań terapeutycznych o charakterze komunikacyjnym</w:t>
            </w:r>
            <w:bookmarkEnd w:id="0"/>
            <w:r w:rsidRPr="00374AB7">
              <w:rPr>
                <w:rFonts w:ascii="Calibri" w:eastAsia="Calibri" w:hAnsi="Calibri" w:cs="MinionPro-Regular"/>
                <w:bCs/>
                <w:lang w:eastAsia="en-US"/>
              </w:rPr>
              <w:t>.</w:t>
            </w:r>
          </w:p>
          <w:p w14:paraId="75C7E5E0" w14:textId="77777777" w:rsidR="00374AB7" w:rsidRPr="00374AB7" w:rsidRDefault="00374AB7" w:rsidP="00374A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libri" w:hAnsi="Calibri" w:cs="MinionPro-Regular"/>
                <w:lang w:eastAsia="en-US"/>
              </w:rPr>
            </w:pPr>
            <w:r w:rsidRPr="00374AB7">
              <w:rPr>
                <w:rFonts w:ascii="Calibri" w:eastAsia="Calibri" w:hAnsi="Calibri" w:cs="MinionPro-Regular"/>
                <w:lang w:eastAsia="en-US"/>
              </w:rPr>
              <w:t>Rozwiązania dostępowe w zakresie dostosowania włączników w praktyce.</w:t>
            </w:r>
          </w:p>
          <w:p w14:paraId="10CAAD00" w14:textId="77777777" w:rsidR="00374AB7" w:rsidRPr="00374AB7" w:rsidRDefault="00374AB7" w:rsidP="00374A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libri" w:hAnsi="Calibri" w:cs="MinionPro-Regular"/>
                <w:szCs w:val="24"/>
                <w:lang w:eastAsia="en-US"/>
              </w:rPr>
            </w:pPr>
            <w:r w:rsidRPr="00374AB7">
              <w:rPr>
                <w:rFonts w:ascii="Calibri" w:eastAsia="Calibri" w:hAnsi="Calibri" w:cs="MinionPro-Regular"/>
                <w:szCs w:val="24"/>
                <w:lang w:eastAsia="en-US"/>
              </w:rPr>
              <w:t xml:space="preserve">Warsztat - </w:t>
            </w:r>
            <w:r w:rsidRPr="00374AB7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374AB7">
              <w:rPr>
                <w:rFonts w:ascii="Calibri" w:eastAsia="Calibri" w:hAnsi="Calibri" w:cs="MinionPro-Regular"/>
                <w:szCs w:val="24"/>
                <w:lang w:eastAsia="en-US"/>
              </w:rPr>
              <w:t xml:space="preserve">Organizacja przestrzeni z wykorzystaniem włączników. Identyfikowanie elementów modelu aktywnego. </w:t>
            </w:r>
          </w:p>
          <w:p w14:paraId="4A5B9EC2" w14:textId="77777777" w:rsidR="00374AB7" w:rsidRPr="00374AB7" w:rsidRDefault="00374AB7" w:rsidP="00374A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libri" w:hAnsi="Calibri" w:cs="MinionPro-Regular"/>
                <w:lang w:eastAsia="en-US"/>
              </w:rPr>
            </w:pPr>
            <w:r w:rsidRPr="00374AB7">
              <w:rPr>
                <w:rFonts w:ascii="Calibri" w:eastAsia="Calibri" w:hAnsi="Calibri" w:cs="MinionPro-Regular"/>
                <w:lang w:eastAsia="en-US"/>
              </w:rPr>
              <w:t>Tworzenie bazy pomocy AAC – pliki do pobrania.</w:t>
            </w:r>
          </w:p>
          <w:p w14:paraId="37E65670" w14:textId="77777777" w:rsidR="00374AB7" w:rsidRPr="00374AB7" w:rsidRDefault="00374AB7" w:rsidP="00374A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libri" w:hAnsi="Calibri" w:cs="MinionPro-Regular"/>
                <w:szCs w:val="24"/>
                <w:lang w:eastAsia="en-US"/>
              </w:rPr>
            </w:pPr>
            <w:r w:rsidRPr="00374AB7">
              <w:rPr>
                <w:rFonts w:ascii="Calibri" w:eastAsia="Calibri" w:hAnsi="Calibri" w:cs="MinionPro-Regular"/>
                <w:szCs w:val="24"/>
                <w:lang w:eastAsia="en-US"/>
              </w:rPr>
              <w:t>Planowanie komunikacyjnego systemu.  Konstruowanie innowacyjnych strategii AAC.</w:t>
            </w:r>
          </w:p>
          <w:p w14:paraId="1A8ED7FD" w14:textId="77777777" w:rsidR="00374AB7" w:rsidRPr="00374AB7" w:rsidRDefault="00374AB7" w:rsidP="00374A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libri" w:hAnsi="Calibri" w:cs="MinionPro-Regular"/>
                <w:szCs w:val="24"/>
                <w:lang w:eastAsia="en-US"/>
              </w:rPr>
            </w:pPr>
            <w:r w:rsidRPr="00374AB7">
              <w:rPr>
                <w:rFonts w:ascii="Calibri" w:eastAsia="Calibri" w:hAnsi="Calibri" w:cs="MinionPro-Regular"/>
                <w:szCs w:val="24"/>
                <w:lang w:eastAsia="en-US"/>
              </w:rPr>
              <w:t xml:space="preserve">Korzyści z </w:t>
            </w:r>
            <w:proofErr w:type="spellStart"/>
            <w:r w:rsidRPr="00374AB7">
              <w:rPr>
                <w:rFonts w:ascii="Calibri" w:eastAsia="Calibri" w:hAnsi="Calibri" w:cs="MinionPro-Regular"/>
                <w:szCs w:val="24"/>
                <w:lang w:eastAsia="en-US"/>
              </w:rPr>
              <w:t>superwizji</w:t>
            </w:r>
            <w:proofErr w:type="spellEnd"/>
            <w:r w:rsidRPr="00374AB7">
              <w:rPr>
                <w:rFonts w:ascii="Calibri" w:eastAsia="Calibri" w:hAnsi="Calibri" w:cs="MinionPro-Regular"/>
                <w:szCs w:val="24"/>
                <w:lang w:eastAsia="en-US"/>
              </w:rPr>
              <w:t xml:space="preserve"> oraz analizy materiału wideo. Poszukiwanie efektywnych rozwiązań. </w:t>
            </w:r>
          </w:p>
          <w:p w14:paraId="7500BB74" w14:textId="77777777" w:rsidR="00374AB7" w:rsidRPr="00374AB7" w:rsidRDefault="00374AB7" w:rsidP="00374AB7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eastAsia="Times New Roman" w:hAnsi="Calibri" w:cs="MinionPro-Regular"/>
                <w:color w:val="404040"/>
                <w:sz w:val="11"/>
                <w:szCs w:val="11"/>
              </w:rPr>
            </w:pPr>
          </w:p>
        </w:tc>
      </w:tr>
    </w:tbl>
    <w:p w14:paraId="65AA5F32" w14:textId="77777777" w:rsidR="00374AB7" w:rsidRDefault="00374AB7"/>
    <w:sectPr w:rsidR="00374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A4A50"/>
    <w:multiLevelType w:val="hybridMultilevel"/>
    <w:tmpl w:val="B31CA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05764"/>
    <w:multiLevelType w:val="hybridMultilevel"/>
    <w:tmpl w:val="C06810CE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AB7"/>
    <w:rsid w:val="0029458C"/>
    <w:rsid w:val="00374AB7"/>
    <w:rsid w:val="005A1995"/>
    <w:rsid w:val="00E40852"/>
    <w:rsid w:val="00F8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3948A"/>
  <w15:docId w15:val="{3A248A2B-9EFA-4AAC-BD85-680670D3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AB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AB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Ewa</cp:lastModifiedBy>
  <cp:revision>2</cp:revision>
  <cp:lastPrinted>2020-10-23T08:53:00Z</cp:lastPrinted>
  <dcterms:created xsi:type="dcterms:W3CDTF">2021-01-20T17:02:00Z</dcterms:created>
  <dcterms:modified xsi:type="dcterms:W3CDTF">2021-01-20T17:02:00Z</dcterms:modified>
</cp:coreProperties>
</file>